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CA7211" w14:textId="7308CB3F" w:rsidR="00EB542C" w:rsidRPr="00877118" w:rsidRDefault="00534FB7" w:rsidP="003B7014">
      <w:pPr>
        <w:spacing w:line="240" w:lineRule="atLeast"/>
        <w:jc w:val="center"/>
        <w:rPr>
          <w:rFonts w:ascii="Cambria" w:hAnsi="Cambria"/>
          <w:b/>
          <w:sz w:val="24"/>
          <w:szCs w:val="24"/>
        </w:rPr>
      </w:pPr>
      <w:r w:rsidRPr="00877118">
        <w:rPr>
          <w:rFonts w:ascii="Cambria" w:hAnsi="Cambria"/>
          <w:b/>
          <w:sz w:val="24"/>
          <w:szCs w:val="24"/>
        </w:rPr>
        <w:t>Lunar Crater Radio Telescope</w:t>
      </w:r>
      <w:r w:rsidR="00EB542C" w:rsidRPr="00877118">
        <w:rPr>
          <w:rFonts w:ascii="Cambria" w:hAnsi="Cambria"/>
          <w:b/>
          <w:sz w:val="24"/>
          <w:szCs w:val="24"/>
        </w:rPr>
        <w:t xml:space="preserve"> </w:t>
      </w:r>
      <w:r w:rsidRPr="00877118">
        <w:rPr>
          <w:rFonts w:ascii="Cambria" w:hAnsi="Cambria"/>
          <w:b/>
          <w:sz w:val="24"/>
          <w:szCs w:val="24"/>
        </w:rPr>
        <w:t xml:space="preserve">(LCRT) on the </w:t>
      </w:r>
      <w:proofErr w:type="spellStart"/>
      <w:r w:rsidRPr="00877118">
        <w:rPr>
          <w:rFonts w:ascii="Cambria" w:hAnsi="Cambria"/>
          <w:b/>
          <w:sz w:val="24"/>
          <w:szCs w:val="24"/>
        </w:rPr>
        <w:t>Farside</w:t>
      </w:r>
      <w:proofErr w:type="spellEnd"/>
      <w:r w:rsidRPr="00877118">
        <w:rPr>
          <w:rFonts w:ascii="Cambria" w:hAnsi="Cambria"/>
          <w:b/>
          <w:sz w:val="24"/>
          <w:szCs w:val="24"/>
        </w:rPr>
        <w:t xml:space="preserve"> of the Moon</w:t>
      </w:r>
    </w:p>
    <w:p w14:paraId="2186EE4A" w14:textId="0B0AE5E3" w:rsidR="000224A0" w:rsidRPr="00877118" w:rsidRDefault="00C44959" w:rsidP="003B7014">
      <w:pPr>
        <w:spacing w:line="240" w:lineRule="atLeast"/>
        <w:jc w:val="center"/>
        <w:rPr>
          <w:rFonts w:ascii="Cambria" w:hAnsi="Cambria"/>
          <w:sz w:val="24"/>
          <w:szCs w:val="24"/>
        </w:rPr>
      </w:pPr>
      <w:r w:rsidRPr="00877118">
        <w:rPr>
          <w:rFonts w:ascii="Cambria" w:hAnsi="Cambria"/>
          <w:sz w:val="24"/>
          <w:szCs w:val="24"/>
        </w:rPr>
        <w:t>Saptarshi Bandyopadhyay</w:t>
      </w:r>
      <w:r w:rsidR="000224A0" w:rsidRPr="00877118">
        <w:rPr>
          <w:rFonts w:ascii="Cambria" w:hAnsi="Cambria"/>
          <w:sz w:val="24"/>
          <w:szCs w:val="24"/>
          <w:vertAlign w:val="superscript"/>
        </w:rPr>
        <w:t>1</w:t>
      </w:r>
      <w:r w:rsidRPr="00877118">
        <w:rPr>
          <w:rFonts w:ascii="Cambria" w:hAnsi="Cambria"/>
          <w:sz w:val="24"/>
          <w:szCs w:val="24"/>
        </w:rPr>
        <w:t>, Ashish Goel</w:t>
      </w:r>
      <w:r w:rsidR="00CA4800" w:rsidRPr="00877118">
        <w:rPr>
          <w:rFonts w:ascii="Cambria" w:hAnsi="Cambria"/>
          <w:sz w:val="24"/>
          <w:szCs w:val="24"/>
          <w:vertAlign w:val="superscript"/>
        </w:rPr>
        <w:t>1</w:t>
      </w:r>
      <w:r w:rsidR="003B7014" w:rsidRPr="00877118">
        <w:rPr>
          <w:rFonts w:ascii="Cambria" w:hAnsi="Cambria"/>
          <w:sz w:val="24"/>
          <w:szCs w:val="24"/>
        </w:rPr>
        <w:t xml:space="preserve">, </w:t>
      </w:r>
      <w:r w:rsidRPr="00877118">
        <w:rPr>
          <w:rFonts w:ascii="Cambria" w:hAnsi="Cambria"/>
          <w:sz w:val="24"/>
          <w:szCs w:val="24"/>
        </w:rPr>
        <w:t>Gaurangi Gupta</w:t>
      </w:r>
      <w:r w:rsidR="00CA4800" w:rsidRPr="00877118">
        <w:rPr>
          <w:rFonts w:ascii="Cambria" w:hAnsi="Cambria"/>
          <w:sz w:val="24"/>
          <w:szCs w:val="24"/>
          <w:vertAlign w:val="superscript"/>
        </w:rPr>
        <w:t>1</w:t>
      </w:r>
      <w:r w:rsidRPr="00877118">
        <w:rPr>
          <w:rFonts w:ascii="Cambria" w:hAnsi="Cambria"/>
          <w:sz w:val="24"/>
          <w:szCs w:val="24"/>
        </w:rPr>
        <w:t>, Manan Arya</w:t>
      </w:r>
      <w:r w:rsidR="003B7014" w:rsidRPr="00877118">
        <w:rPr>
          <w:rFonts w:ascii="Cambria" w:hAnsi="Cambria"/>
          <w:sz w:val="24"/>
          <w:szCs w:val="24"/>
          <w:vertAlign w:val="superscript"/>
        </w:rPr>
        <w:t>2</w:t>
      </w:r>
      <w:r w:rsidRPr="00877118">
        <w:rPr>
          <w:rFonts w:ascii="Cambria" w:hAnsi="Cambria"/>
          <w:sz w:val="24"/>
          <w:szCs w:val="24"/>
        </w:rPr>
        <w:t>, Nacer Chahat</w:t>
      </w:r>
      <w:r w:rsidR="00CA4800" w:rsidRPr="00877118">
        <w:rPr>
          <w:rFonts w:ascii="Cambria" w:hAnsi="Cambria"/>
          <w:sz w:val="24"/>
          <w:szCs w:val="24"/>
          <w:vertAlign w:val="superscript"/>
        </w:rPr>
        <w:t>1</w:t>
      </w:r>
      <w:r w:rsidRPr="00877118">
        <w:rPr>
          <w:rFonts w:ascii="Cambria" w:hAnsi="Cambria"/>
          <w:sz w:val="24"/>
          <w:szCs w:val="24"/>
        </w:rPr>
        <w:t xml:space="preserve">, </w:t>
      </w:r>
      <w:r w:rsidR="003B7014" w:rsidRPr="00877118">
        <w:rPr>
          <w:rFonts w:ascii="Cambria" w:hAnsi="Cambria"/>
          <w:sz w:val="24"/>
          <w:szCs w:val="24"/>
        </w:rPr>
        <w:t>Adrian Tang</w:t>
      </w:r>
      <w:r w:rsidR="00CA4800" w:rsidRPr="00877118">
        <w:rPr>
          <w:rFonts w:ascii="Cambria" w:hAnsi="Cambria"/>
          <w:sz w:val="24"/>
          <w:szCs w:val="24"/>
          <w:vertAlign w:val="superscript"/>
        </w:rPr>
        <w:t>1</w:t>
      </w:r>
      <w:r w:rsidR="003B7014" w:rsidRPr="00877118">
        <w:rPr>
          <w:rFonts w:ascii="Cambria" w:hAnsi="Cambria"/>
          <w:sz w:val="24"/>
          <w:szCs w:val="24"/>
        </w:rPr>
        <w:t>,</w:t>
      </w:r>
      <w:r w:rsidR="00CA4800" w:rsidRPr="00877118">
        <w:rPr>
          <w:rFonts w:ascii="Cambria" w:hAnsi="Cambria"/>
          <w:sz w:val="24"/>
          <w:szCs w:val="24"/>
        </w:rPr>
        <w:t xml:space="preserve"> Kalind Carpenter</w:t>
      </w:r>
      <w:r w:rsidR="00CA4800" w:rsidRPr="00877118">
        <w:rPr>
          <w:rFonts w:ascii="Cambria" w:hAnsi="Cambria"/>
          <w:sz w:val="24"/>
          <w:szCs w:val="24"/>
          <w:vertAlign w:val="superscript"/>
        </w:rPr>
        <w:t>1</w:t>
      </w:r>
      <w:r w:rsidR="00CA4800" w:rsidRPr="00877118">
        <w:rPr>
          <w:rFonts w:ascii="Cambria" w:hAnsi="Cambria"/>
          <w:sz w:val="24"/>
          <w:szCs w:val="24"/>
        </w:rPr>
        <w:t>,</w:t>
      </w:r>
    </w:p>
    <w:p w14:paraId="7E5ECFB6" w14:textId="7F24543F" w:rsidR="000224A0" w:rsidRPr="00877118" w:rsidRDefault="000224A0" w:rsidP="003B7014">
      <w:pPr>
        <w:spacing w:line="240" w:lineRule="atLeast"/>
        <w:jc w:val="center"/>
        <w:rPr>
          <w:rFonts w:ascii="Cambria" w:hAnsi="Cambria"/>
          <w:i/>
          <w:iCs/>
          <w:sz w:val="24"/>
          <w:szCs w:val="24"/>
        </w:rPr>
      </w:pPr>
      <w:r w:rsidRPr="00877118">
        <w:rPr>
          <w:rFonts w:ascii="Cambria" w:hAnsi="Cambria"/>
          <w:i/>
          <w:iCs/>
          <w:sz w:val="24"/>
          <w:szCs w:val="24"/>
          <w:vertAlign w:val="superscript"/>
        </w:rPr>
        <w:t>1</w:t>
      </w:r>
      <w:r w:rsidRPr="00877118">
        <w:rPr>
          <w:rFonts w:ascii="Cambria" w:hAnsi="Cambria"/>
          <w:i/>
          <w:iCs/>
          <w:sz w:val="24"/>
          <w:szCs w:val="24"/>
        </w:rPr>
        <w:t xml:space="preserve">Jet Propulsion Laboratory, California Institute of Technology, </w:t>
      </w:r>
      <w:r w:rsidR="003B7014" w:rsidRPr="00877118">
        <w:rPr>
          <w:rFonts w:ascii="Cambria" w:hAnsi="Cambria"/>
          <w:i/>
          <w:iCs/>
          <w:sz w:val="24"/>
          <w:szCs w:val="24"/>
          <w:vertAlign w:val="superscript"/>
        </w:rPr>
        <w:t>2</w:t>
      </w:r>
      <w:r w:rsidR="003B7014" w:rsidRPr="00877118">
        <w:rPr>
          <w:rFonts w:ascii="Cambria" w:hAnsi="Cambria"/>
          <w:i/>
          <w:iCs/>
          <w:sz w:val="24"/>
          <w:szCs w:val="24"/>
        </w:rPr>
        <w:t>Stanford University</w:t>
      </w:r>
    </w:p>
    <w:p w14:paraId="1653677D" w14:textId="0C09C67C" w:rsidR="00C22CA2" w:rsidRPr="00877118" w:rsidRDefault="00C22CA2" w:rsidP="00C22CA2">
      <w:pPr>
        <w:spacing w:line="240" w:lineRule="atLeast"/>
        <w:ind w:firstLine="288"/>
        <w:jc w:val="both"/>
        <w:rPr>
          <w:rFonts w:ascii="Cambria" w:hAnsi="Cambria"/>
          <w:sz w:val="24"/>
          <w:szCs w:val="24"/>
        </w:rPr>
      </w:pPr>
    </w:p>
    <w:p w14:paraId="18B5EF51" w14:textId="77777777" w:rsidR="00C22CA2" w:rsidRPr="00877118" w:rsidRDefault="00C22CA2" w:rsidP="00C22CA2">
      <w:pPr>
        <w:spacing w:line="240" w:lineRule="atLeast"/>
        <w:ind w:firstLine="288"/>
        <w:jc w:val="both"/>
        <w:rPr>
          <w:rFonts w:ascii="Cambria" w:hAnsi="Cambria"/>
          <w:sz w:val="24"/>
          <w:szCs w:val="24"/>
        </w:rPr>
        <w:sectPr w:rsidR="00C22CA2" w:rsidRPr="00877118" w:rsidSect="00F62523">
          <w:headerReference w:type="even" r:id="rId8"/>
          <w:footerReference w:type="even" r:id="rId9"/>
          <w:pgSz w:w="12240" w:h="15840"/>
          <w:pgMar w:top="1440" w:right="1440" w:bottom="1440" w:left="1440" w:header="720" w:footer="720" w:gutter="0"/>
          <w:cols w:space="720"/>
          <w:docGrid w:linePitch="360"/>
        </w:sectPr>
      </w:pPr>
    </w:p>
    <w:p w14:paraId="16AAC627" w14:textId="1147E87A" w:rsidR="00182BD9" w:rsidRPr="00877118" w:rsidRDefault="00877118" w:rsidP="00182BD9">
      <w:pPr>
        <w:spacing w:line="240" w:lineRule="atLeast"/>
        <w:ind w:firstLine="288"/>
        <w:jc w:val="both"/>
        <w:rPr>
          <w:rFonts w:ascii="Cambria" w:hAnsi="Cambria"/>
          <w:sz w:val="24"/>
          <w:szCs w:val="24"/>
        </w:rPr>
      </w:pPr>
      <w:r>
        <w:rPr>
          <w:noProof/>
        </w:rPr>
        <mc:AlternateContent>
          <mc:Choice Requires="wps">
            <w:drawing>
              <wp:anchor distT="0" distB="0" distL="114300" distR="114300" simplePos="0" relativeHeight="251660288" behindDoc="0" locked="0" layoutInCell="1" allowOverlap="1" wp14:anchorId="1BB51C23" wp14:editId="4EC73F86">
                <wp:simplePos x="0" y="0"/>
                <wp:positionH relativeFrom="column">
                  <wp:posOffset>231140</wp:posOffset>
                </wp:positionH>
                <wp:positionV relativeFrom="paragraph">
                  <wp:posOffset>5389245</wp:posOffset>
                </wp:positionV>
                <wp:extent cx="5583555" cy="635"/>
                <wp:effectExtent l="0" t="0" r="4445" b="12065"/>
                <wp:wrapTopAndBottom/>
                <wp:docPr id="1655746264" name="Text Box 1"/>
                <wp:cNvGraphicFramePr/>
                <a:graphic xmlns:a="http://schemas.openxmlformats.org/drawingml/2006/main">
                  <a:graphicData uri="http://schemas.microsoft.com/office/word/2010/wordprocessingShape">
                    <wps:wsp>
                      <wps:cNvSpPr txBox="1"/>
                      <wps:spPr>
                        <a:xfrm>
                          <a:off x="0" y="0"/>
                          <a:ext cx="5583555" cy="635"/>
                        </a:xfrm>
                        <a:prstGeom prst="rect">
                          <a:avLst/>
                        </a:prstGeom>
                        <a:solidFill>
                          <a:prstClr val="white"/>
                        </a:solidFill>
                        <a:ln>
                          <a:noFill/>
                        </a:ln>
                      </wps:spPr>
                      <wps:txbx>
                        <w:txbxContent>
                          <w:p w14:paraId="0871AE6D" w14:textId="431F6A5E" w:rsidR="00877118" w:rsidRPr="00877118" w:rsidRDefault="00877118" w:rsidP="00877118">
                            <w:pPr>
                              <w:pStyle w:val="Caption"/>
                              <w:jc w:val="center"/>
                              <w:rPr>
                                <w:rFonts w:ascii="Cambria" w:hAnsi="Cambria"/>
                                <w:noProof/>
                                <w:sz w:val="24"/>
                                <w:szCs w:val="24"/>
                              </w:rPr>
                            </w:pPr>
                            <w:r w:rsidRPr="00877118">
                              <w:rPr>
                                <w:sz w:val="24"/>
                                <w:szCs w:val="24"/>
                              </w:rPr>
                              <w:t xml:space="preserve">Figure </w:t>
                            </w:r>
                            <w:r w:rsidRPr="00877118">
                              <w:rPr>
                                <w:sz w:val="24"/>
                                <w:szCs w:val="24"/>
                              </w:rPr>
                              <w:fldChar w:fldCharType="begin"/>
                            </w:r>
                            <w:r w:rsidRPr="00877118">
                              <w:rPr>
                                <w:sz w:val="24"/>
                                <w:szCs w:val="24"/>
                              </w:rPr>
                              <w:instrText xml:space="preserve"> SEQ Figure \* ARABIC </w:instrText>
                            </w:r>
                            <w:r w:rsidRPr="00877118">
                              <w:rPr>
                                <w:sz w:val="24"/>
                                <w:szCs w:val="24"/>
                              </w:rPr>
                              <w:fldChar w:fldCharType="separate"/>
                            </w:r>
                            <w:r w:rsidR="002E0593">
                              <w:rPr>
                                <w:noProof/>
                                <w:sz w:val="24"/>
                                <w:szCs w:val="24"/>
                              </w:rPr>
                              <w:t>1</w:t>
                            </w:r>
                            <w:r w:rsidRPr="00877118">
                              <w:rPr>
                                <w:sz w:val="24"/>
                                <w:szCs w:val="24"/>
                              </w:rPr>
                              <w:fldChar w:fldCharType="end"/>
                            </w:r>
                            <w:r w:rsidRPr="00877118">
                              <w:rPr>
                                <w:sz w:val="24"/>
                                <w:szCs w:val="24"/>
                              </w:rPr>
                              <w:t xml:space="preserve">: Concept art of LCRT on the </w:t>
                            </w:r>
                            <w:proofErr w:type="spellStart"/>
                            <w:r w:rsidRPr="00877118">
                              <w:rPr>
                                <w:sz w:val="24"/>
                                <w:szCs w:val="24"/>
                              </w:rPr>
                              <w:t>farside</w:t>
                            </w:r>
                            <w:proofErr w:type="spellEnd"/>
                            <w:r w:rsidRPr="00877118">
                              <w:rPr>
                                <w:sz w:val="24"/>
                                <w:szCs w:val="24"/>
                              </w:rPr>
                              <w:t xml:space="preserve"> of the Moon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BB51C23" id="_x0000_t202" coordsize="21600,21600" o:spt="202" path="m,l,21600r21600,l21600,xe">
                <v:stroke joinstyle="miter"/>
                <v:path gradientshapeok="t" o:connecttype="rect"/>
              </v:shapetype>
              <v:shape id="Text Box 1" o:spid="_x0000_s1026" type="#_x0000_t202" style="position:absolute;left:0;text-align:left;margin-left:18.2pt;margin-top:424.35pt;width:439.6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" stroked="f">
                <v:textbox style="mso-fit-shape-to-text:t" inset="0,0,0,0">
                  <w:txbxContent>
                    <w:p w14:paraId="0871AE6D" w14:textId="431F6A5E" w:rsidR="00877118" w:rsidRPr="00877118" w:rsidRDefault="00877118" w:rsidP="00877118">
                      <w:pPr>
                        <w:pStyle w:val="Caption"/>
                        <w:jc w:val="center"/>
                        <w:rPr>
                          <w:rFonts w:ascii="Cambria" w:hAnsi="Cambria"/>
                          <w:noProof/>
                          <w:sz w:val="24"/>
                          <w:szCs w:val="24"/>
                        </w:rPr>
                      </w:pPr>
                      <w:r w:rsidRPr="00877118">
                        <w:rPr>
                          <w:sz w:val="24"/>
                          <w:szCs w:val="24"/>
                        </w:rPr>
                        <w:t xml:space="preserve">Figure </w:t>
                      </w:r>
                      <w:r w:rsidRPr="00877118">
                        <w:rPr>
                          <w:sz w:val="24"/>
                          <w:szCs w:val="24"/>
                        </w:rPr>
                        <w:fldChar w:fldCharType="begin"/>
                      </w:r>
                      <w:r w:rsidRPr="00877118">
                        <w:rPr>
                          <w:sz w:val="24"/>
                          <w:szCs w:val="24"/>
                        </w:rPr>
                        <w:instrText xml:space="preserve"> SEQ Figure \* ARABIC </w:instrText>
                      </w:r>
                      <w:r w:rsidRPr="00877118">
                        <w:rPr>
                          <w:sz w:val="24"/>
                          <w:szCs w:val="24"/>
                        </w:rPr>
                        <w:fldChar w:fldCharType="separate"/>
                      </w:r>
                      <w:r w:rsidR="002E0593">
                        <w:rPr>
                          <w:noProof/>
                          <w:sz w:val="24"/>
                          <w:szCs w:val="24"/>
                        </w:rPr>
                        <w:t>1</w:t>
                      </w:r>
                      <w:r w:rsidRPr="00877118">
                        <w:rPr>
                          <w:sz w:val="24"/>
                          <w:szCs w:val="24"/>
                        </w:rPr>
                        <w:fldChar w:fldCharType="end"/>
                      </w:r>
                      <w:r w:rsidRPr="00877118">
                        <w:rPr>
                          <w:sz w:val="24"/>
                          <w:szCs w:val="24"/>
                        </w:rPr>
                        <w:t xml:space="preserve">: Concept art of LCRT on the </w:t>
                      </w:r>
                      <w:proofErr w:type="spellStart"/>
                      <w:r w:rsidRPr="00877118">
                        <w:rPr>
                          <w:sz w:val="24"/>
                          <w:szCs w:val="24"/>
                        </w:rPr>
                        <w:t>farside</w:t>
                      </w:r>
                      <w:proofErr w:type="spellEnd"/>
                      <w:r w:rsidRPr="00877118">
                        <w:rPr>
                          <w:sz w:val="24"/>
                          <w:szCs w:val="24"/>
                        </w:rPr>
                        <w:t xml:space="preserve"> of the Moon</w:t>
                      </w:r>
                    </w:p>
                  </w:txbxContent>
                </v:textbox>
                <w10:wrap type="topAndBottom"/>
              </v:shape>
            </w:pict>
          </mc:Fallback>
        </mc:AlternateContent>
      </w:r>
      <w:r w:rsidRPr="00877118">
        <w:rPr>
          <w:rFonts w:ascii="Cambria" w:hAnsi="Cambria"/>
          <w:noProof/>
          <w:sz w:val="24"/>
          <w:szCs w:val="24"/>
        </w:rPr>
        <w:drawing>
          <wp:anchor distT="0" distB="0" distL="114300" distR="114300" simplePos="0" relativeHeight="251658240" behindDoc="1" locked="0" layoutInCell="1" allowOverlap="1" wp14:anchorId="543E3A6F" wp14:editId="7FF4421A">
            <wp:simplePos x="0" y="0"/>
            <wp:positionH relativeFrom="margin">
              <wp:posOffset>231473</wp:posOffset>
            </wp:positionH>
            <wp:positionV relativeFrom="paragraph">
              <wp:posOffset>2193925</wp:posOffset>
            </wp:positionV>
            <wp:extent cx="5583555" cy="3138170"/>
            <wp:effectExtent l="0" t="0" r="444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583555" cy="3138170"/>
                    </a:xfrm>
                    <a:prstGeom prst="rect">
                      <a:avLst/>
                    </a:prstGeom>
                  </pic:spPr>
                </pic:pic>
              </a:graphicData>
            </a:graphic>
            <wp14:sizeRelH relativeFrom="margin">
              <wp14:pctWidth>0</wp14:pctWidth>
            </wp14:sizeRelH>
            <wp14:sizeRelV relativeFrom="margin">
              <wp14:pctHeight>0</wp14:pctHeight>
            </wp14:sizeRelV>
          </wp:anchor>
        </w:drawing>
      </w:r>
      <w:r w:rsidR="00480A46" w:rsidRPr="00877118">
        <w:rPr>
          <w:rFonts w:ascii="Cambria" w:hAnsi="Cambria"/>
          <w:sz w:val="24"/>
          <w:szCs w:val="24"/>
        </w:rPr>
        <w:t>The Cosmic Dark Ages represent the period in the early evolution of the Universe, starting immediately after the decoupling of CMB photons from matter, and ending with the formation of the first stars and galaxies. The H</w:t>
      </w:r>
      <w:r w:rsidR="00480A46" w:rsidRPr="00877118">
        <w:rPr>
          <w:rFonts w:ascii="Cambria" w:hAnsi="Cambria"/>
          <w:sz w:val="24"/>
          <w:szCs w:val="24"/>
          <w:vertAlign w:val="subscript"/>
        </w:rPr>
        <w:t>I</w:t>
      </w:r>
      <w:r w:rsidR="00480A46" w:rsidRPr="00877118">
        <w:rPr>
          <w:rFonts w:ascii="Cambria" w:hAnsi="Cambria"/>
          <w:sz w:val="24"/>
          <w:szCs w:val="24"/>
        </w:rPr>
        <w:t xml:space="preserve"> signal from the neutral hydrogen atoms is the only mechanism for us to understand this crucial phase in the cosmological history of the Universe and answer fundamental questions about the validity of the standard cosmological model, dark matter physics, and inflation. Due to cosmological redshift, this signal is now only observable in the 4.7</w:t>
      </w:r>
      <w:r w:rsidR="006F5C13" w:rsidRPr="00877118">
        <w:rPr>
          <w:rFonts w:ascii="Cambria" w:hAnsi="Cambria"/>
          <w:sz w:val="24"/>
          <w:szCs w:val="24"/>
        </w:rPr>
        <w:t xml:space="preserve"> – </w:t>
      </w:r>
      <w:r w:rsidR="00480A46" w:rsidRPr="00877118">
        <w:rPr>
          <w:rFonts w:ascii="Cambria" w:hAnsi="Cambria"/>
          <w:sz w:val="24"/>
          <w:szCs w:val="24"/>
        </w:rPr>
        <w:t>47 MHz frequency band, which is blocked from reaching the surface of the Earth by the ionosphere</w:t>
      </w:r>
      <w:r w:rsidR="00F83124" w:rsidRPr="00877118">
        <w:rPr>
          <w:rFonts w:ascii="Cambria" w:hAnsi="Cambria"/>
          <w:sz w:val="24"/>
          <w:szCs w:val="24"/>
        </w:rPr>
        <w:t xml:space="preserve"> and </w:t>
      </w:r>
      <w:r w:rsidR="00F83124" w:rsidRPr="00877118">
        <w:rPr>
          <w:rFonts w:ascii="Cambria" w:hAnsi="Cambria"/>
          <w:bCs/>
          <w:sz w:val="24"/>
          <w:szCs w:val="24"/>
        </w:rPr>
        <w:t>have not been explored by humans till date.</w:t>
      </w:r>
      <w:r w:rsidR="00480A46" w:rsidRPr="00877118">
        <w:rPr>
          <w:rFonts w:ascii="Cambria" w:hAnsi="Cambria"/>
          <w:sz w:val="24"/>
          <w:szCs w:val="24"/>
        </w:rPr>
        <w:t xml:space="preserve"> </w:t>
      </w:r>
      <w:r w:rsidR="00182BD9" w:rsidRPr="00877118">
        <w:rPr>
          <w:rFonts w:ascii="Cambria" w:hAnsi="Cambria"/>
          <w:sz w:val="24"/>
          <w:szCs w:val="24"/>
        </w:rPr>
        <w:t xml:space="preserve">We hence propose to carry out this measurement using a radio telescope on the far side of the Moon. In addition to being free from ionospheric effects, the far side of the </w:t>
      </w:r>
      <w:r w:rsidR="00F34C80" w:rsidRPr="00877118">
        <w:rPr>
          <w:rFonts w:ascii="Cambria" w:hAnsi="Cambria"/>
          <w:sz w:val="24"/>
          <w:szCs w:val="24"/>
        </w:rPr>
        <w:t>M</w:t>
      </w:r>
      <w:r w:rsidR="00182BD9" w:rsidRPr="00877118">
        <w:rPr>
          <w:rFonts w:ascii="Cambria" w:hAnsi="Cambria"/>
          <w:sz w:val="24"/>
          <w:szCs w:val="24"/>
        </w:rPr>
        <w:t>oon provides a radio-quiet environment for these measurements since it is shielded from terrestrial sources of radio frequency interference.</w:t>
      </w:r>
    </w:p>
    <w:p w14:paraId="308083D6" w14:textId="1CDB1A3C" w:rsidR="00182BD9" w:rsidRPr="00877118" w:rsidRDefault="00F62523" w:rsidP="00B92A5F">
      <w:pPr>
        <w:spacing w:line="240" w:lineRule="atLeast"/>
        <w:ind w:firstLine="288"/>
        <w:jc w:val="both"/>
        <w:rPr>
          <w:rFonts w:ascii="Cambria" w:hAnsi="Cambria"/>
          <w:sz w:val="24"/>
          <w:szCs w:val="24"/>
        </w:rPr>
      </w:pPr>
      <w:r w:rsidRPr="00877118">
        <w:rPr>
          <w:rFonts w:ascii="Cambria" w:hAnsi="Cambria"/>
          <w:sz w:val="24"/>
          <w:szCs w:val="24"/>
        </w:rPr>
        <w:t>W</w:t>
      </w:r>
      <w:r w:rsidR="00480A46" w:rsidRPr="00877118">
        <w:rPr>
          <w:rFonts w:ascii="Cambria" w:hAnsi="Cambria"/>
          <w:sz w:val="24"/>
          <w:szCs w:val="24"/>
        </w:rPr>
        <w:t>e present the design of the Lunar Crater Radio Telescope</w:t>
      </w:r>
      <w:r w:rsidR="0016167B" w:rsidRPr="00877118">
        <w:rPr>
          <w:rFonts w:ascii="Cambria" w:hAnsi="Cambria"/>
          <w:sz w:val="24"/>
          <w:szCs w:val="24"/>
        </w:rPr>
        <w:t xml:space="preserve"> (LCRT)</w:t>
      </w:r>
      <w:r w:rsidR="00732A16" w:rsidRPr="00877118">
        <w:rPr>
          <w:rFonts w:ascii="Cambria" w:hAnsi="Cambria"/>
          <w:sz w:val="24"/>
          <w:szCs w:val="24"/>
        </w:rPr>
        <w:t xml:space="preserve"> mission concept</w:t>
      </w:r>
      <w:r w:rsidR="00480A46" w:rsidRPr="00877118">
        <w:rPr>
          <w:rFonts w:ascii="Cambria" w:hAnsi="Cambria"/>
          <w:sz w:val="24"/>
          <w:szCs w:val="24"/>
        </w:rPr>
        <w:t xml:space="preserve"> that intends to carry out unprecedented measurements of this signal by deploying a 350m</w:t>
      </w:r>
      <w:r w:rsidR="00877118">
        <w:rPr>
          <w:rFonts w:ascii="Cambria" w:hAnsi="Cambria"/>
          <w:sz w:val="24"/>
          <w:szCs w:val="24"/>
        </w:rPr>
        <w:t>-diameter</w:t>
      </w:r>
      <w:r w:rsidR="00480A46" w:rsidRPr="00877118">
        <w:rPr>
          <w:rFonts w:ascii="Cambria" w:hAnsi="Cambria"/>
          <w:sz w:val="24"/>
          <w:szCs w:val="24"/>
        </w:rPr>
        <w:t xml:space="preserve"> parabolic reflector mesh inside a lunar crater on the far side of the </w:t>
      </w:r>
      <w:r w:rsidR="00F34C80" w:rsidRPr="00877118">
        <w:rPr>
          <w:rFonts w:ascii="Cambria" w:hAnsi="Cambria"/>
          <w:sz w:val="24"/>
          <w:szCs w:val="24"/>
        </w:rPr>
        <w:t>M</w:t>
      </w:r>
      <w:r w:rsidR="00480A46" w:rsidRPr="00877118">
        <w:rPr>
          <w:rFonts w:ascii="Cambria" w:hAnsi="Cambria"/>
          <w:sz w:val="24"/>
          <w:szCs w:val="24"/>
        </w:rPr>
        <w:t>oon and suspending a receiver at its focus.</w:t>
      </w:r>
      <w:r w:rsidR="00182BD9" w:rsidRPr="00877118">
        <w:rPr>
          <w:rFonts w:ascii="Cambria" w:hAnsi="Cambria"/>
          <w:sz w:val="24"/>
          <w:szCs w:val="24"/>
        </w:rPr>
        <w:t xml:space="preserve"> Our concept of operations employs a single lander which launches a sequence of projectile anchors onto the rim of the crater, establishing ‘lift wires’ that are then used to hoist the feed antenna followed by the deployment of the folded mesh reflector. </w:t>
      </w:r>
      <w:r w:rsidR="00B465CE" w:rsidRPr="00877118">
        <w:rPr>
          <w:rFonts w:ascii="Cambria" w:hAnsi="Cambria"/>
          <w:sz w:val="24"/>
          <w:szCs w:val="24"/>
        </w:rPr>
        <w:t xml:space="preserve">We also describe the rationale for crater selection and technological solutions for achieving desired shape accuracy and thermal performance with our design. </w:t>
      </w:r>
    </w:p>
    <w:p w14:paraId="068E8A4C" w14:textId="17E49707" w:rsidR="00FF6400" w:rsidRDefault="002E0593" w:rsidP="00FF6400">
      <w:pPr>
        <w:spacing w:line="240" w:lineRule="atLeast"/>
        <w:ind w:firstLine="288"/>
        <w:jc w:val="both"/>
        <w:rPr>
          <w:rFonts w:ascii="Cambria" w:hAnsi="Cambria"/>
          <w:bCs/>
          <w:sz w:val="24"/>
          <w:szCs w:val="24"/>
        </w:rPr>
      </w:pPr>
      <w:r>
        <w:rPr>
          <w:noProof/>
        </w:rPr>
        <w:lastRenderedPageBreak/>
        <mc:AlternateContent>
          <mc:Choice Requires="wps">
            <w:drawing>
              <wp:anchor distT="0" distB="0" distL="114300" distR="114300" simplePos="0" relativeHeight="251663360" behindDoc="0" locked="0" layoutInCell="1" allowOverlap="1" wp14:anchorId="6E85D5D1" wp14:editId="6F65A000">
                <wp:simplePos x="0" y="0"/>
                <wp:positionH relativeFrom="column">
                  <wp:posOffset>269240</wp:posOffset>
                </wp:positionH>
                <wp:positionV relativeFrom="paragraph">
                  <wp:posOffset>4958080</wp:posOffset>
                </wp:positionV>
                <wp:extent cx="5346065" cy="635"/>
                <wp:effectExtent l="0" t="0" r="635" b="12065"/>
                <wp:wrapTopAndBottom/>
                <wp:docPr id="1376583474" name="Text Box 1"/>
                <wp:cNvGraphicFramePr/>
                <a:graphic xmlns:a="http://schemas.openxmlformats.org/drawingml/2006/main">
                  <a:graphicData uri="http://schemas.microsoft.com/office/word/2010/wordprocessingShape">
                    <wps:wsp>
                      <wps:cNvSpPr txBox="1"/>
                      <wps:spPr>
                        <a:xfrm>
                          <a:off x="0" y="0"/>
                          <a:ext cx="5346065" cy="635"/>
                        </a:xfrm>
                        <a:prstGeom prst="rect">
                          <a:avLst/>
                        </a:prstGeom>
                        <a:solidFill>
                          <a:prstClr val="white"/>
                        </a:solidFill>
                        <a:ln>
                          <a:noFill/>
                        </a:ln>
                      </wps:spPr>
                      <wps:txbx>
                        <w:txbxContent>
                          <w:p w14:paraId="733614D8" w14:textId="2168C39C" w:rsidR="002E0593" w:rsidRPr="002E0593" w:rsidRDefault="002E0593" w:rsidP="002E0593">
                            <w:pPr>
                              <w:pStyle w:val="Caption"/>
                              <w:jc w:val="center"/>
                              <w:rPr>
                                <w:rFonts w:ascii="Cambria" w:hAnsi="Cambria"/>
                                <w:bCs/>
                                <w:noProof/>
                                <w:sz w:val="24"/>
                                <w:szCs w:val="24"/>
                              </w:rPr>
                            </w:pPr>
                            <w:r w:rsidRPr="002E0593">
                              <w:rPr>
                                <w:sz w:val="24"/>
                                <w:szCs w:val="24"/>
                              </w:rPr>
                              <w:t xml:space="preserve">Figure </w:t>
                            </w:r>
                            <w:r w:rsidRPr="002E0593">
                              <w:rPr>
                                <w:sz w:val="24"/>
                                <w:szCs w:val="24"/>
                              </w:rPr>
                              <w:fldChar w:fldCharType="begin"/>
                            </w:r>
                            <w:r w:rsidRPr="002E0593">
                              <w:rPr>
                                <w:sz w:val="24"/>
                                <w:szCs w:val="24"/>
                              </w:rPr>
                              <w:instrText xml:space="preserve"> SEQ Figure \* ARABIC </w:instrText>
                            </w:r>
                            <w:r w:rsidRPr="002E0593">
                              <w:rPr>
                                <w:sz w:val="24"/>
                                <w:szCs w:val="24"/>
                              </w:rPr>
                              <w:fldChar w:fldCharType="separate"/>
                            </w:r>
                            <w:r w:rsidRPr="002E0593">
                              <w:rPr>
                                <w:noProof/>
                                <w:sz w:val="24"/>
                                <w:szCs w:val="24"/>
                              </w:rPr>
                              <w:t>2</w:t>
                            </w:r>
                            <w:r w:rsidRPr="002E0593">
                              <w:rPr>
                                <w:sz w:val="24"/>
                                <w:szCs w:val="24"/>
                              </w:rPr>
                              <w:fldChar w:fldCharType="end"/>
                            </w:r>
                            <w:r w:rsidRPr="002E0593">
                              <w:rPr>
                                <w:sz w:val="24"/>
                                <w:szCs w:val="24"/>
                              </w:rPr>
                              <w:t>: (a) 1/200-scale model of LCRT at Prof. Arya's lab in Stanford. (b) Detailed RF-characterization of 1/200-scale model of LCRT at NASA Glenn Research Center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85D5D1" id="_x0000_s1027" type="#_x0000_t202" style="position:absolute;left:0;text-align:left;margin-left:21.2pt;margin-top:390.4pt;width:420.9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" stroked="f">
                <v:textbox style="mso-fit-shape-to-text:t" inset="0,0,0,0">
                  <w:txbxContent>
                    <w:p w14:paraId="733614D8" w14:textId="2168C39C" w:rsidR="002E0593" w:rsidRPr="002E0593" w:rsidRDefault="002E0593" w:rsidP="002E0593">
                      <w:pPr>
                        <w:pStyle w:val="Caption"/>
                        <w:jc w:val="center"/>
                        <w:rPr>
                          <w:rFonts w:ascii="Cambria" w:hAnsi="Cambria"/>
                          <w:bCs/>
                          <w:noProof/>
                          <w:sz w:val="24"/>
                          <w:szCs w:val="24"/>
                        </w:rPr>
                      </w:pPr>
                      <w:r w:rsidRPr="002E0593">
                        <w:rPr>
                          <w:sz w:val="24"/>
                          <w:szCs w:val="24"/>
                        </w:rPr>
                        <w:t xml:space="preserve">Figure </w:t>
                      </w:r>
                      <w:r w:rsidRPr="002E0593">
                        <w:rPr>
                          <w:sz w:val="24"/>
                          <w:szCs w:val="24"/>
                        </w:rPr>
                        <w:fldChar w:fldCharType="begin"/>
                      </w:r>
                      <w:r w:rsidRPr="002E0593">
                        <w:rPr>
                          <w:sz w:val="24"/>
                          <w:szCs w:val="24"/>
                        </w:rPr>
                        <w:instrText xml:space="preserve"> SEQ Figure \* ARABIC </w:instrText>
                      </w:r>
                      <w:r w:rsidRPr="002E0593">
                        <w:rPr>
                          <w:sz w:val="24"/>
                          <w:szCs w:val="24"/>
                        </w:rPr>
                        <w:fldChar w:fldCharType="separate"/>
                      </w:r>
                      <w:r w:rsidRPr="002E0593">
                        <w:rPr>
                          <w:noProof/>
                          <w:sz w:val="24"/>
                          <w:szCs w:val="24"/>
                        </w:rPr>
                        <w:t>2</w:t>
                      </w:r>
                      <w:r w:rsidRPr="002E0593">
                        <w:rPr>
                          <w:sz w:val="24"/>
                          <w:szCs w:val="24"/>
                        </w:rPr>
                        <w:fldChar w:fldCharType="end"/>
                      </w:r>
                      <w:r w:rsidRPr="002E0593">
                        <w:rPr>
                          <w:sz w:val="24"/>
                          <w:szCs w:val="24"/>
                        </w:rPr>
                        <w:t>: (a) 1/200-scale model of LCRT at Prof. Arya's lab in Stanford. (b) Detailed RF-characterization of 1/200-scale model of LCRT at NASA Glenn Research Center</w:t>
                      </w:r>
                    </w:p>
                  </w:txbxContent>
                </v:textbox>
                <w10:wrap type="topAndBottom"/>
              </v:shape>
            </w:pict>
          </mc:Fallback>
        </mc:AlternateContent>
      </w:r>
      <w:r>
        <w:rPr>
          <w:rFonts w:ascii="Cambria" w:hAnsi="Cambria"/>
          <w:bCs/>
          <w:noProof/>
          <w:sz w:val="24"/>
          <w:szCs w:val="24"/>
        </w:rPr>
        <w:drawing>
          <wp:anchor distT="0" distB="0" distL="114300" distR="114300" simplePos="0" relativeHeight="251661312" behindDoc="0" locked="0" layoutInCell="1" allowOverlap="1" wp14:anchorId="130DF72E" wp14:editId="77AE038E">
            <wp:simplePos x="0" y="0"/>
            <wp:positionH relativeFrom="column">
              <wp:posOffset>269594</wp:posOffset>
            </wp:positionH>
            <wp:positionV relativeFrom="paragraph">
              <wp:posOffset>1161415</wp:posOffset>
            </wp:positionV>
            <wp:extent cx="5346065" cy="3739515"/>
            <wp:effectExtent l="0" t="0" r="635" b="0"/>
            <wp:wrapTopAndBottom/>
            <wp:docPr id="1548836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836642" name="Picture 1548836642"/>
                    <pic:cNvPicPr/>
                  </pic:nvPicPr>
                  <pic:blipFill>
                    <a:blip r:embed="rId11"/>
                    <a:stretch>
                      <a:fillRect/>
                    </a:stretch>
                  </pic:blipFill>
                  <pic:spPr>
                    <a:xfrm>
                      <a:off x="0" y="0"/>
                      <a:ext cx="5346065" cy="3739515"/>
                    </a:xfrm>
                    <a:prstGeom prst="rect">
                      <a:avLst/>
                    </a:prstGeom>
                  </pic:spPr>
                </pic:pic>
              </a:graphicData>
            </a:graphic>
            <wp14:sizeRelH relativeFrom="page">
              <wp14:pctWidth>0</wp14:pctWidth>
            </wp14:sizeRelH>
            <wp14:sizeRelV relativeFrom="page">
              <wp14:pctHeight>0</wp14:pctHeight>
            </wp14:sizeRelV>
          </wp:anchor>
        </w:drawing>
      </w:r>
      <w:r w:rsidR="00F83124" w:rsidRPr="00877118">
        <w:rPr>
          <w:rFonts w:ascii="Cambria" w:hAnsi="Cambria"/>
          <w:bCs/>
          <w:sz w:val="24"/>
          <w:szCs w:val="24"/>
        </w:rPr>
        <w:t xml:space="preserve">The LCRT mission concept is </w:t>
      </w:r>
      <w:r w:rsidR="005806CD">
        <w:rPr>
          <w:rFonts w:ascii="Cambria" w:hAnsi="Cambria"/>
          <w:bCs/>
          <w:sz w:val="24"/>
          <w:szCs w:val="24"/>
        </w:rPr>
        <w:t xml:space="preserve">has been </w:t>
      </w:r>
      <w:r w:rsidR="00F83124" w:rsidRPr="00877118">
        <w:rPr>
          <w:rFonts w:ascii="Cambria" w:hAnsi="Cambria"/>
          <w:bCs/>
          <w:sz w:val="24"/>
          <w:szCs w:val="24"/>
        </w:rPr>
        <w:t>funded by the NASA Institute for Advanced Concepts (NIAC) Phase</w:t>
      </w:r>
      <w:r w:rsidR="005806CD">
        <w:rPr>
          <w:rFonts w:ascii="Cambria" w:hAnsi="Cambria"/>
          <w:bCs/>
          <w:sz w:val="24"/>
          <w:szCs w:val="24"/>
        </w:rPr>
        <w:t xml:space="preserve"> 1 and Phase</w:t>
      </w:r>
      <w:r w:rsidR="00F83124" w:rsidRPr="00877118">
        <w:rPr>
          <w:rFonts w:ascii="Cambria" w:hAnsi="Cambria"/>
          <w:bCs/>
          <w:sz w:val="24"/>
          <w:szCs w:val="24"/>
        </w:rPr>
        <w:t xml:space="preserve"> 2 program and</w:t>
      </w:r>
      <w:r w:rsidR="00D87FB6" w:rsidRPr="00877118">
        <w:rPr>
          <w:rFonts w:ascii="Cambria" w:hAnsi="Cambria"/>
          <w:bCs/>
          <w:sz w:val="24"/>
          <w:szCs w:val="24"/>
        </w:rPr>
        <w:t xml:space="preserve"> the NASA</w:t>
      </w:r>
      <w:r w:rsidR="00F83124" w:rsidRPr="00877118">
        <w:rPr>
          <w:rFonts w:ascii="Cambria" w:hAnsi="Cambria"/>
          <w:bCs/>
          <w:sz w:val="24"/>
          <w:szCs w:val="24"/>
        </w:rPr>
        <w:t xml:space="preserve"> Astrophysics Research and Analysis (APRA) program. </w:t>
      </w:r>
      <w:r w:rsidR="00FF6400">
        <w:rPr>
          <w:rFonts w:ascii="Cambria" w:hAnsi="Cambria"/>
          <w:bCs/>
          <w:sz w:val="24"/>
          <w:szCs w:val="24"/>
        </w:rPr>
        <w:t>We</w:t>
      </w:r>
      <w:r w:rsidR="00FF6400" w:rsidRPr="00FF6400">
        <w:rPr>
          <w:rFonts w:ascii="Cambria" w:hAnsi="Cambria"/>
          <w:bCs/>
          <w:sz w:val="24"/>
          <w:szCs w:val="24"/>
        </w:rPr>
        <w:t xml:space="preserve"> have developed a 1/200-scale model of LCRT</w:t>
      </w:r>
      <w:r w:rsidR="00FF6400">
        <w:rPr>
          <w:rFonts w:ascii="Cambria" w:hAnsi="Cambria"/>
          <w:bCs/>
          <w:sz w:val="24"/>
          <w:szCs w:val="24"/>
        </w:rPr>
        <w:t xml:space="preserve"> and performed</w:t>
      </w:r>
      <w:r w:rsidR="00FF6400" w:rsidRPr="00FF6400">
        <w:rPr>
          <w:rFonts w:ascii="Cambria" w:hAnsi="Cambria"/>
          <w:bCs/>
          <w:sz w:val="24"/>
          <w:szCs w:val="24"/>
        </w:rPr>
        <w:t xml:space="preserve"> detailed RF-characterization of this LCRT model at NASA Glenn Research Center</w:t>
      </w:r>
      <w:r w:rsidR="00FF6400">
        <w:rPr>
          <w:rFonts w:ascii="Cambria" w:hAnsi="Cambria"/>
          <w:bCs/>
          <w:sz w:val="24"/>
          <w:szCs w:val="24"/>
        </w:rPr>
        <w:t xml:space="preserve">. </w:t>
      </w:r>
      <w:r w:rsidR="00FF6400" w:rsidRPr="00FF6400">
        <w:rPr>
          <w:rFonts w:ascii="Cambria" w:hAnsi="Cambria"/>
          <w:bCs/>
          <w:sz w:val="24"/>
          <w:szCs w:val="24"/>
        </w:rPr>
        <w:t>In the future, we will performing astronomical observations with this LCRT model at Owens Valley Radio Observatory (OVRO).</w:t>
      </w:r>
    </w:p>
    <w:p w14:paraId="4D4E6F06" w14:textId="6AA2D8AC" w:rsidR="006824D5" w:rsidRDefault="00F83124" w:rsidP="00D87FB6">
      <w:pPr>
        <w:spacing w:line="240" w:lineRule="atLeast"/>
        <w:ind w:firstLine="288"/>
        <w:jc w:val="both"/>
        <w:rPr>
          <w:rFonts w:ascii="Cambria" w:hAnsi="Cambria"/>
          <w:bCs/>
          <w:sz w:val="24"/>
          <w:szCs w:val="24"/>
        </w:rPr>
      </w:pPr>
      <w:r w:rsidRPr="00877118">
        <w:rPr>
          <w:rFonts w:ascii="Cambria" w:hAnsi="Cambria"/>
          <w:bCs/>
          <w:sz w:val="24"/>
          <w:szCs w:val="24"/>
        </w:rPr>
        <w:t>The 2020 Astrophysics Decadal Survey recommended a probe-class mission (cost cap $1</w:t>
      </w:r>
      <w:r w:rsidR="0051345F">
        <w:rPr>
          <w:rFonts w:ascii="Cambria" w:hAnsi="Cambria"/>
          <w:bCs/>
          <w:sz w:val="24"/>
          <w:szCs w:val="24"/>
        </w:rPr>
        <w:t>.5</w:t>
      </w:r>
      <w:r w:rsidRPr="00877118">
        <w:rPr>
          <w:rFonts w:ascii="Cambria" w:hAnsi="Cambria"/>
          <w:bCs/>
          <w:sz w:val="24"/>
          <w:szCs w:val="24"/>
        </w:rPr>
        <w:t xml:space="preserve"> Billion, excluding launch) for Dark Ages cosmology in the next decade (2030–2040). We believe LCRT is the leading candidate for this probe-class mission!</w:t>
      </w:r>
    </w:p>
    <w:p w14:paraId="6BC67989" w14:textId="77777777" w:rsidR="002E0593" w:rsidRDefault="002E0593" w:rsidP="002E0593">
      <w:pPr>
        <w:spacing w:line="240" w:lineRule="atLeast"/>
        <w:jc w:val="both"/>
        <w:rPr>
          <w:rFonts w:ascii="Cambria" w:hAnsi="Cambria"/>
          <w:bCs/>
          <w:sz w:val="24"/>
          <w:szCs w:val="24"/>
        </w:rPr>
      </w:pPr>
    </w:p>
    <w:p w14:paraId="74141ACD" w14:textId="25990514" w:rsidR="002E0593" w:rsidRPr="00877118" w:rsidRDefault="002E0593" w:rsidP="002E0593">
      <w:pPr>
        <w:spacing w:line="240" w:lineRule="atLeast"/>
        <w:jc w:val="both"/>
        <w:rPr>
          <w:rFonts w:ascii="Cambria" w:hAnsi="Cambria"/>
          <w:bCs/>
          <w:sz w:val="24"/>
          <w:szCs w:val="24"/>
        </w:rPr>
      </w:pPr>
      <w:r>
        <w:rPr>
          <w:rFonts w:ascii="Cambria" w:hAnsi="Cambria"/>
          <w:bCs/>
          <w:sz w:val="24"/>
          <w:szCs w:val="24"/>
        </w:rPr>
        <w:t xml:space="preserve">References: </w:t>
      </w:r>
    </w:p>
    <w:p w14:paraId="17590BF2" w14:textId="6D65AF45" w:rsidR="002E0593" w:rsidRPr="002E0593" w:rsidRDefault="00FE211D" w:rsidP="002E0593">
      <w:pPr>
        <w:spacing w:line="240" w:lineRule="atLeast"/>
        <w:jc w:val="both"/>
        <w:rPr>
          <w:rFonts w:ascii="Cambria" w:hAnsi="Cambria"/>
          <w:bCs/>
          <w:sz w:val="24"/>
          <w:szCs w:val="24"/>
        </w:rPr>
      </w:pPr>
      <w:r w:rsidRPr="00877118">
        <w:rPr>
          <w:rFonts w:ascii="Cambria" w:hAnsi="Cambria"/>
          <w:bCs/>
          <w:sz w:val="24"/>
          <w:szCs w:val="24"/>
        </w:rPr>
        <w:t xml:space="preserve">[1] </w:t>
      </w:r>
      <w:r w:rsidR="002E0593" w:rsidRPr="002E0593">
        <w:rPr>
          <w:rFonts w:ascii="Cambria" w:hAnsi="Cambria"/>
          <w:bCs/>
          <w:sz w:val="24"/>
          <w:szCs w:val="24"/>
        </w:rPr>
        <w:t xml:space="preserve">D. </w:t>
      </w:r>
      <w:proofErr w:type="spellStart"/>
      <w:r w:rsidR="002E0593" w:rsidRPr="002E0593">
        <w:rPr>
          <w:rFonts w:ascii="Cambria" w:hAnsi="Cambria"/>
          <w:bCs/>
          <w:sz w:val="24"/>
          <w:szCs w:val="24"/>
        </w:rPr>
        <w:t>Pisanti</w:t>
      </w:r>
      <w:proofErr w:type="spellEnd"/>
      <w:r w:rsidR="002E0593">
        <w:rPr>
          <w:rFonts w:ascii="Cambria" w:hAnsi="Cambria"/>
          <w:bCs/>
          <w:sz w:val="24"/>
          <w:szCs w:val="24"/>
        </w:rPr>
        <w:t xml:space="preserve"> et. al. </w:t>
      </w:r>
      <w:r w:rsidR="002E0593" w:rsidRPr="002E0593">
        <w:rPr>
          <w:rFonts w:ascii="Cambria" w:hAnsi="Cambria"/>
          <w:bCs/>
          <w:sz w:val="24"/>
          <w:szCs w:val="24"/>
        </w:rPr>
        <w:t>“Modeling Science Return from the Lunar Crater Radio Telescope on the Far Side of the Moon,” Philosophical Transactions Royal Society A, March 2024. (</w:t>
      </w:r>
      <w:hyperlink r:id="rId12" w:tgtFrame="_blank" w:history="1">
        <w:r w:rsidR="002E0593" w:rsidRPr="002E0593">
          <w:rPr>
            <w:rStyle w:val="Hyperlink"/>
            <w:rFonts w:ascii="Cambria" w:hAnsi="Cambria"/>
            <w:bCs/>
            <w:sz w:val="24"/>
            <w:szCs w:val="24"/>
          </w:rPr>
          <w:t>DOI</w:t>
        </w:r>
      </w:hyperlink>
      <w:r w:rsidR="002E0593" w:rsidRPr="002E0593">
        <w:rPr>
          <w:rFonts w:ascii="Cambria" w:hAnsi="Cambria"/>
          <w:bCs/>
          <w:sz w:val="24"/>
          <w:szCs w:val="24"/>
        </w:rPr>
        <w:t>)</w:t>
      </w:r>
    </w:p>
    <w:p w14:paraId="54D04CE2" w14:textId="4FA7FA39" w:rsidR="00FE211D" w:rsidRDefault="002E0593" w:rsidP="00FE211D">
      <w:pPr>
        <w:spacing w:line="240" w:lineRule="atLeast"/>
        <w:jc w:val="both"/>
        <w:rPr>
          <w:rFonts w:ascii="Cambria" w:hAnsi="Cambria"/>
          <w:bCs/>
          <w:sz w:val="24"/>
          <w:szCs w:val="24"/>
        </w:rPr>
      </w:pPr>
      <w:r>
        <w:rPr>
          <w:rFonts w:ascii="Cambria" w:hAnsi="Cambria"/>
          <w:bCs/>
          <w:sz w:val="24"/>
          <w:szCs w:val="24"/>
        </w:rPr>
        <w:t xml:space="preserve">[2] </w:t>
      </w:r>
      <w:r w:rsidR="00FE211D" w:rsidRPr="00877118">
        <w:rPr>
          <w:rFonts w:ascii="Cambria" w:hAnsi="Cambria"/>
          <w:bCs/>
          <w:sz w:val="24"/>
          <w:szCs w:val="24"/>
        </w:rPr>
        <w:t>S. Bandyopadhyay et. al. “Lunar crater radio telescope (LCRT) on the far side of the Moon,” NASA Innovative Advanced Concepts (NIAC) Phase 2 Report, 2023. (</w:t>
      </w:r>
      <w:hyperlink r:id="rId13" w:tgtFrame="_blank" w:history="1">
        <w:r w:rsidR="00FE211D" w:rsidRPr="00877118">
          <w:rPr>
            <w:rStyle w:val="Hyperlink"/>
            <w:rFonts w:ascii="Cambria" w:hAnsi="Cambria"/>
            <w:bCs/>
            <w:sz w:val="24"/>
            <w:szCs w:val="24"/>
          </w:rPr>
          <w:t>PDF</w:t>
        </w:r>
      </w:hyperlink>
      <w:r w:rsidR="00FE211D" w:rsidRPr="00877118">
        <w:rPr>
          <w:rFonts w:ascii="Cambria" w:hAnsi="Cambria"/>
          <w:bCs/>
          <w:sz w:val="24"/>
          <w:szCs w:val="24"/>
        </w:rPr>
        <w:t>)</w:t>
      </w:r>
    </w:p>
    <w:p w14:paraId="1A124DAC" w14:textId="7FE491E9" w:rsidR="002E0593" w:rsidRPr="002E0593" w:rsidRDefault="002E0593" w:rsidP="002E0593">
      <w:pPr>
        <w:spacing w:line="240" w:lineRule="atLeast"/>
        <w:jc w:val="both"/>
        <w:rPr>
          <w:rFonts w:ascii="Cambria" w:hAnsi="Cambria"/>
          <w:bCs/>
          <w:sz w:val="24"/>
          <w:szCs w:val="24"/>
        </w:rPr>
      </w:pPr>
      <w:r>
        <w:rPr>
          <w:rFonts w:ascii="Cambria" w:hAnsi="Cambria"/>
          <w:bCs/>
          <w:sz w:val="24"/>
          <w:szCs w:val="24"/>
        </w:rPr>
        <w:t xml:space="preserve">[3] </w:t>
      </w:r>
      <w:r w:rsidRPr="002E0593">
        <w:rPr>
          <w:rFonts w:ascii="Cambria" w:hAnsi="Cambria"/>
          <w:bCs/>
          <w:sz w:val="24"/>
          <w:szCs w:val="24"/>
        </w:rPr>
        <w:t>S. Bandyopadhyay</w:t>
      </w:r>
      <w:r>
        <w:rPr>
          <w:rFonts w:ascii="Cambria" w:hAnsi="Cambria"/>
          <w:bCs/>
          <w:sz w:val="24"/>
          <w:szCs w:val="24"/>
        </w:rPr>
        <w:t xml:space="preserve"> et. al. </w:t>
      </w:r>
      <w:r w:rsidRPr="002E0593">
        <w:rPr>
          <w:rFonts w:ascii="Cambria" w:hAnsi="Cambria"/>
          <w:bCs/>
          <w:sz w:val="24"/>
          <w:szCs w:val="24"/>
        </w:rPr>
        <w:t>“Lunar Crater Radio Telescope (LCRT) on the Far Side of the Moon,” NASA Innovative Advanced Concepts (NIAC) Phase 1 Report, 2021. (</w:t>
      </w:r>
      <w:hyperlink r:id="rId14" w:tgtFrame="_blank" w:history="1">
        <w:r w:rsidRPr="002E0593">
          <w:rPr>
            <w:rStyle w:val="Hyperlink"/>
            <w:rFonts w:ascii="Cambria" w:hAnsi="Cambria"/>
            <w:bCs/>
            <w:sz w:val="24"/>
            <w:szCs w:val="24"/>
          </w:rPr>
          <w:t>PDF</w:t>
        </w:r>
      </w:hyperlink>
      <w:r w:rsidRPr="002E0593">
        <w:rPr>
          <w:rFonts w:ascii="Cambria" w:hAnsi="Cambria"/>
          <w:bCs/>
          <w:sz w:val="24"/>
          <w:szCs w:val="24"/>
        </w:rPr>
        <w:t>)</w:t>
      </w:r>
    </w:p>
    <w:p w14:paraId="0015BF8F" w14:textId="4B3A9234" w:rsidR="002E0593" w:rsidRPr="00877118" w:rsidRDefault="002E0593" w:rsidP="00FE211D">
      <w:pPr>
        <w:spacing w:line="240" w:lineRule="atLeast"/>
        <w:jc w:val="both"/>
        <w:rPr>
          <w:rFonts w:ascii="Cambria" w:hAnsi="Cambria"/>
          <w:bCs/>
          <w:sz w:val="24"/>
          <w:szCs w:val="24"/>
        </w:rPr>
      </w:pPr>
      <w:r>
        <w:rPr>
          <w:rFonts w:ascii="Cambria" w:hAnsi="Cambria"/>
          <w:bCs/>
          <w:sz w:val="24"/>
          <w:szCs w:val="24"/>
        </w:rPr>
        <w:t xml:space="preserve"> </w:t>
      </w:r>
    </w:p>
    <w:p w14:paraId="70951A09" w14:textId="5622646C" w:rsidR="00FE211D" w:rsidRPr="00877118" w:rsidRDefault="00FE211D" w:rsidP="00FE211D">
      <w:pPr>
        <w:spacing w:line="240" w:lineRule="atLeast"/>
        <w:jc w:val="both"/>
        <w:rPr>
          <w:rFonts w:ascii="Cambria" w:hAnsi="Cambria"/>
          <w:bCs/>
          <w:sz w:val="24"/>
          <w:szCs w:val="24"/>
        </w:rPr>
      </w:pPr>
    </w:p>
    <w:p w14:paraId="290AABEA" w14:textId="352BD625" w:rsidR="00504A03" w:rsidRPr="00877118" w:rsidRDefault="00504A03" w:rsidP="00504A03">
      <w:pPr>
        <w:spacing w:line="240" w:lineRule="atLeast"/>
        <w:jc w:val="both"/>
        <w:rPr>
          <w:rFonts w:ascii="Cambria" w:hAnsi="Cambria"/>
          <w:sz w:val="24"/>
          <w:szCs w:val="24"/>
        </w:rPr>
      </w:pPr>
    </w:p>
    <w:sectPr w:rsidR="00504A03" w:rsidRPr="00877118" w:rsidSect="00F62523">
      <w:type w:val="continuous"/>
      <w:pgSz w:w="12240" w:h="15840"/>
      <w:pgMar w:top="1440" w:right="1440" w:bottom="1440" w:left="1440" w:header="720" w:footer="720" w:gutter="0"/>
      <w:cols w:space="47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759054" w14:textId="77777777" w:rsidR="00F6199C" w:rsidRDefault="00F6199C">
      <w:r>
        <w:separator/>
      </w:r>
    </w:p>
  </w:endnote>
  <w:endnote w:type="continuationSeparator" w:id="0">
    <w:p w14:paraId="397158F1" w14:textId="77777777" w:rsidR="00F6199C" w:rsidRDefault="00F619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EE13A" w14:textId="77777777" w:rsidR="00480A46" w:rsidRDefault="00480A4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46341" w14:textId="77777777" w:rsidR="00F6199C" w:rsidRDefault="00F6199C">
      <w:r>
        <w:separator/>
      </w:r>
    </w:p>
  </w:footnote>
  <w:footnote w:type="continuationSeparator" w:id="0">
    <w:p w14:paraId="2D757F19" w14:textId="77777777" w:rsidR="00F6199C" w:rsidRDefault="00F619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04A15" w14:textId="77777777" w:rsidR="00480A46" w:rsidRDefault="00480A46">
    <w:pPr>
      <w:pStyle w:val="Header"/>
      <w:jc w:val="center"/>
    </w:pPr>
    <w:r>
      <w:t>SHORT TITLE HERE:  A. B. Author and C. D. Author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3D382D"/>
    <w:multiLevelType w:val="multilevel"/>
    <w:tmpl w:val="BA6091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3E037DF"/>
    <w:multiLevelType w:val="multilevel"/>
    <w:tmpl w:val="56349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19E2AAC"/>
    <w:multiLevelType w:val="multilevel"/>
    <w:tmpl w:val="714E2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5003450">
    <w:abstractNumId w:val="2"/>
  </w:num>
  <w:num w:numId="2" w16cid:durableId="472598580">
    <w:abstractNumId w:val="0"/>
  </w:num>
  <w:num w:numId="3" w16cid:durableId="5369671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2CA2"/>
    <w:rsid w:val="000224A0"/>
    <w:rsid w:val="000275A9"/>
    <w:rsid w:val="000A5C0C"/>
    <w:rsid w:val="000A76A6"/>
    <w:rsid w:val="001510C6"/>
    <w:rsid w:val="0016167B"/>
    <w:rsid w:val="00182BD9"/>
    <w:rsid w:val="001C44F6"/>
    <w:rsid w:val="001C6380"/>
    <w:rsid w:val="002412FE"/>
    <w:rsid w:val="00266950"/>
    <w:rsid w:val="002E0593"/>
    <w:rsid w:val="00377894"/>
    <w:rsid w:val="00393D80"/>
    <w:rsid w:val="003A58C1"/>
    <w:rsid w:val="003B07C0"/>
    <w:rsid w:val="003B7014"/>
    <w:rsid w:val="004342CC"/>
    <w:rsid w:val="00480A46"/>
    <w:rsid w:val="004D7174"/>
    <w:rsid w:val="00504A03"/>
    <w:rsid w:val="0051345F"/>
    <w:rsid w:val="00534FB7"/>
    <w:rsid w:val="005806CD"/>
    <w:rsid w:val="00593D56"/>
    <w:rsid w:val="005D32BC"/>
    <w:rsid w:val="0061434B"/>
    <w:rsid w:val="00622526"/>
    <w:rsid w:val="006508B8"/>
    <w:rsid w:val="006824D5"/>
    <w:rsid w:val="006A128D"/>
    <w:rsid w:val="006F5C13"/>
    <w:rsid w:val="007138BB"/>
    <w:rsid w:val="007141D7"/>
    <w:rsid w:val="00732A16"/>
    <w:rsid w:val="007666A2"/>
    <w:rsid w:val="00792E20"/>
    <w:rsid w:val="007B0CF0"/>
    <w:rsid w:val="007B5FDB"/>
    <w:rsid w:val="00876D99"/>
    <w:rsid w:val="00877118"/>
    <w:rsid w:val="00892AA9"/>
    <w:rsid w:val="009905A2"/>
    <w:rsid w:val="00A25E69"/>
    <w:rsid w:val="00A35664"/>
    <w:rsid w:val="00A365A6"/>
    <w:rsid w:val="00A4519B"/>
    <w:rsid w:val="00AB69BF"/>
    <w:rsid w:val="00AC13D2"/>
    <w:rsid w:val="00AC5C33"/>
    <w:rsid w:val="00B040EF"/>
    <w:rsid w:val="00B26AF6"/>
    <w:rsid w:val="00B3432F"/>
    <w:rsid w:val="00B465CE"/>
    <w:rsid w:val="00B81EE3"/>
    <w:rsid w:val="00B92A5F"/>
    <w:rsid w:val="00BB11C1"/>
    <w:rsid w:val="00C22CA2"/>
    <w:rsid w:val="00C44959"/>
    <w:rsid w:val="00CA4800"/>
    <w:rsid w:val="00CE15F3"/>
    <w:rsid w:val="00D87FB6"/>
    <w:rsid w:val="00DE4AE1"/>
    <w:rsid w:val="00E43065"/>
    <w:rsid w:val="00E7731D"/>
    <w:rsid w:val="00EB542C"/>
    <w:rsid w:val="00EC3001"/>
    <w:rsid w:val="00F0047B"/>
    <w:rsid w:val="00F13CB9"/>
    <w:rsid w:val="00F34C80"/>
    <w:rsid w:val="00F6199C"/>
    <w:rsid w:val="00F62523"/>
    <w:rsid w:val="00F83124"/>
    <w:rsid w:val="00F923B6"/>
    <w:rsid w:val="00FE211D"/>
    <w:rsid w:val="00FF64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0DC77F5"/>
  <w14:defaultImageDpi w14:val="0"/>
  <w15:docId w15:val="{265F17DB-641F-413D-82F7-EA6C782CD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2CA2"/>
    <w:rPr>
      <w:rFonts w:ascii="Times New Roman" w:hAnsi="Times New Roman" w:cs="Times New Roman"/>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E43065"/>
    <w:rPr>
      <w:rFonts w:asciiTheme="minorHAnsi" w:hAnsiTheme="minorHAnsi" w:cs="Times New Roman"/>
      <w:color w:val="0000FF"/>
      <w:u w:val="single"/>
    </w:rPr>
  </w:style>
  <w:style w:type="paragraph" w:styleId="NoSpacing">
    <w:name w:val="No Spacing"/>
    <w:uiPriority w:val="1"/>
    <w:qFormat/>
    <w:rsid w:val="003A58C1"/>
    <w:rPr>
      <w:rFonts w:eastAsiaTheme="minorEastAsia" w:cs="Times New Roman"/>
    </w:rPr>
  </w:style>
  <w:style w:type="table" w:customStyle="1" w:styleId="Style1">
    <w:name w:val="Style1"/>
    <w:basedOn w:val="TableNormal"/>
    <w:uiPriority w:val="99"/>
    <w:rsid w:val="002412FE"/>
    <w:rPr>
      <w:rFonts w:eastAsiaTheme="minorEastAsia" w:cs="Times New Roman"/>
      <w:color w:val="000000" w:themeColor="text1"/>
    </w:rPr>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FFFFF" w:themeFill="background1"/>
    </w:tcPr>
    <w:tblStylePr w:type="firstRow">
      <w:rPr>
        <w:rFonts w:cs="Times New Roman"/>
        <w:b/>
        <w:color w:val="FFFFFF" w:themeColor="background1"/>
      </w:rPr>
      <w:tblPr/>
      <w:tcPr>
        <w:shd w:val="clear" w:color="auto" w:fill="31849B" w:themeFill="accent5" w:themeFillShade="BF"/>
      </w:tcPr>
    </w:tblStylePr>
    <w:tblStylePr w:type="band1Horz">
      <w:rPr>
        <w:rFonts w:cs="Times New Roman"/>
      </w:rPr>
      <w:tblPr/>
      <w:tcPr>
        <w:shd w:val="clear" w:color="auto" w:fill="DAEEF3" w:themeFill="accent5" w:themeFillTint="33"/>
      </w:tcPr>
    </w:tblStylePr>
  </w:style>
  <w:style w:type="table" w:styleId="GridTable4-Accent6">
    <w:name w:val="Grid Table 4 Accent 6"/>
    <w:basedOn w:val="TableNormal"/>
    <w:uiPriority w:val="49"/>
    <w:rsid w:val="00CE15F3"/>
    <w:rPr>
      <w:rFonts w:eastAsiaTheme="minorEastAsia" w:cs="Times New Roman"/>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rFonts w:cs="Times New Roman"/>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rFonts w:cs="Times New Roman"/>
        <w:b/>
        <w:bCs/>
      </w:rPr>
      <w:tblPr/>
      <w:tcPr>
        <w:tcBorders>
          <w:top w:val="double" w:sz="4" w:space="0" w:color="F79646" w:themeColor="accent6"/>
        </w:tcBorders>
      </w:tcPr>
    </w:tblStylePr>
    <w:tblStylePr w:type="firstCol">
      <w:rPr>
        <w:rFonts w:cs="Times New Roman"/>
        <w:b w:val="0"/>
        <w:bCs/>
      </w:rPr>
    </w:tblStylePr>
    <w:tblStylePr w:type="lastCol">
      <w:rPr>
        <w:rFonts w:cs="Times New Roman"/>
        <w:b/>
        <w:bCs/>
      </w:rPr>
    </w:tblStylePr>
    <w:tblStylePr w:type="band1Vert">
      <w:rPr>
        <w:rFonts w:cs="Times New Roman"/>
      </w:rPr>
      <w:tblPr/>
      <w:tcPr>
        <w:shd w:val="clear" w:color="auto" w:fill="FDE9D9" w:themeFill="accent6" w:themeFillTint="33"/>
      </w:tcPr>
    </w:tblStylePr>
    <w:tblStylePr w:type="band1Horz">
      <w:rPr>
        <w:rFonts w:cs="Times New Roman"/>
      </w:rPr>
      <w:tblPr/>
      <w:tcPr>
        <w:shd w:val="clear" w:color="auto" w:fill="FDE9D9" w:themeFill="accent6" w:themeFillTint="33"/>
      </w:tcPr>
    </w:tblStylePr>
  </w:style>
  <w:style w:type="paragraph" w:styleId="Footer">
    <w:name w:val="footer"/>
    <w:basedOn w:val="Normal"/>
    <w:link w:val="FooterChar"/>
    <w:uiPriority w:val="99"/>
    <w:rsid w:val="00C22CA2"/>
    <w:pPr>
      <w:tabs>
        <w:tab w:val="center" w:pos="4320"/>
        <w:tab w:val="right" w:pos="8640"/>
      </w:tabs>
    </w:pPr>
  </w:style>
  <w:style w:type="character" w:customStyle="1" w:styleId="FooterChar">
    <w:name w:val="Footer Char"/>
    <w:basedOn w:val="DefaultParagraphFont"/>
    <w:link w:val="Footer"/>
    <w:uiPriority w:val="99"/>
    <w:locked/>
    <w:rsid w:val="00C22CA2"/>
    <w:rPr>
      <w:rFonts w:ascii="Times New Roman" w:hAnsi="Times New Roman" w:cs="Times New Roman"/>
      <w:sz w:val="20"/>
      <w:szCs w:val="20"/>
    </w:rPr>
  </w:style>
  <w:style w:type="paragraph" w:styleId="Header">
    <w:name w:val="header"/>
    <w:basedOn w:val="Normal"/>
    <w:link w:val="HeaderChar"/>
    <w:uiPriority w:val="99"/>
    <w:rsid w:val="00C22CA2"/>
    <w:pPr>
      <w:tabs>
        <w:tab w:val="center" w:pos="4320"/>
        <w:tab w:val="right" w:pos="8640"/>
      </w:tabs>
    </w:pPr>
  </w:style>
  <w:style w:type="character" w:customStyle="1" w:styleId="HeaderChar">
    <w:name w:val="Header Char"/>
    <w:basedOn w:val="DefaultParagraphFont"/>
    <w:link w:val="Header"/>
    <w:uiPriority w:val="99"/>
    <w:locked/>
    <w:rsid w:val="00C22CA2"/>
    <w:rPr>
      <w:rFonts w:ascii="Times New Roman" w:hAnsi="Times New Roman" w:cs="Times New Roman"/>
      <w:sz w:val="20"/>
      <w:szCs w:val="20"/>
    </w:rPr>
  </w:style>
  <w:style w:type="paragraph" w:styleId="NormalWeb">
    <w:name w:val="Normal (Web)"/>
    <w:basedOn w:val="Normal"/>
    <w:uiPriority w:val="99"/>
    <w:unhideWhenUsed/>
    <w:rsid w:val="00C22CA2"/>
    <w:pPr>
      <w:spacing w:before="100" w:beforeAutospacing="1" w:after="100" w:afterAutospacing="1"/>
    </w:pPr>
    <w:rPr>
      <w:rFonts w:ascii="Calibri" w:hAnsi="Calibri" w:cs="Calibri"/>
      <w:sz w:val="24"/>
      <w:szCs w:val="24"/>
    </w:rPr>
  </w:style>
  <w:style w:type="character" w:styleId="Strong">
    <w:name w:val="Strong"/>
    <w:basedOn w:val="DefaultParagraphFont"/>
    <w:uiPriority w:val="22"/>
    <w:qFormat/>
    <w:rsid w:val="00C22CA2"/>
    <w:rPr>
      <w:b/>
    </w:rPr>
  </w:style>
  <w:style w:type="character" w:styleId="Emphasis">
    <w:name w:val="Emphasis"/>
    <w:basedOn w:val="DefaultParagraphFont"/>
    <w:uiPriority w:val="20"/>
    <w:qFormat/>
    <w:rsid w:val="00C22CA2"/>
    <w:rPr>
      <w:i/>
    </w:rPr>
  </w:style>
  <w:style w:type="character" w:styleId="UnresolvedMention">
    <w:name w:val="Unresolved Mention"/>
    <w:basedOn w:val="DefaultParagraphFont"/>
    <w:uiPriority w:val="99"/>
    <w:semiHidden/>
    <w:unhideWhenUsed/>
    <w:rsid w:val="000224A0"/>
    <w:rPr>
      <w:color w:val="605E5C"/>
      <w:shd w:val="clear" w:color="auto" w:fill="E1DFDD"/>
    </w:rPr>
  </w:style>
  <w:style w:type="table" w:styleId="TableGrid">
    <w:name w:val="Table Grid"/>
    <w:basedOn w:val="TableNormal"/>
    <w:uiPriority w:val="59"/>
    <w:rsid w:val="00504A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E211D"/>
    <w:pPr>
      <w:spacing w:after="200"/>
    </w:pPr>
    <w:rPr>
      <w:i/>
      <w:iCs/>
      <w:color w:val="1F497D" w:themeColor="text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9569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www.dropbox.com/scl/fi/ooqok08snd55dvwun17q9/LCRT_NIAC_Phase2_Final_Report.pdf?rlkey=rgk86coj7fhf1uhej2sd356if&amp;dl=0"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royalsocietypublishing.org/doi/10.1098/rsta.2023.0073"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dropbox.com/s/dswc3kyg2swun11/LCRT_NIAC_Phase_1_Final_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08949C-94DF-44B7-B76D-A4B0056F8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2</Pages>
  <Words>504</Words>
  <Characters>2704</Characters>
  <Application>Microsoft Office Word</Application>
  <DocSecurity>0</DocSecurity>
  <Lines>45</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Garcia, Linda</dc:creator>
  <cp:keywords/>
  <dc:description/>
  <cp:lastModifiedBy>Bandyopadhyay, Saptarshi (US 358P)</cp:lastModifiedBy>
  <cp:revision>15</cp:revision>
  <dcterms:created xsi:type="dcterms:W3CDTF">2026-04-10T22:13:00Z</dcterms:created>
  <dcterms:modified xsi:type="dcterms:W3CDTF">2026-04-11T21:06:00Z</dcterms:modified>
</cp:coreProperties>
</file>